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26" w:rsidRDefault="004B3C27">
      <w:r>
        <w:rPr>
          <w:noProof/>
        </w:rPr>
        <w:drawing>
          <wp:inline distT="0" distB="0" distL="0" distR="0">
            <wp:extent cx="5274310" cy="1635213"/>
            <wp:effectExtent l="19050" t="0" r="2540" b="0"/>
            <wp:docPr id="1" name="图片 1" descr="C:\Users\Administra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png"/>
                    <pic:cNvPicPr>
                      <a:picLocks noChangeAspect="1" noChangeArrowheads="1"/>
                    </pic:cNvPicPr>
                  </pic:nvPicPr>
                  <pic:blipFill>
                    <a:blip r:embed="rId6"/>
                    <a:srcRect/>
                    <a:stretch>
                      <a:fillRect/>
                    </a:stretch>
                  </pic:blipFill>
                  <pic:spPr bwMode="auto">
                    <a:xfrm>
                      <a:off x="0" y="0"/>
                      <a:ext cx="5274310" cy="1635213"/>
                    </a:xfrm>
                    <a:prstGeom prst="rect">
                      <a:avLst/>
                    </a:prstGeom>
                    <a:noFill/>
                    <a:ln w="9525">
                      <a:noFill/>
                      <a:miter lim="800000"/>
                      <a:headEnd/>
                      <a:tailEnd/>
                    </a:ln>
                  </pic:spPr>
                </pic:pic>
              </a:graphicData>
            </a:graphic>
          </wp:inline>
        </w:drawing>
      </w:r>
    </w:p>
    <w:p w:rsidR="004B3C27" w:rsidRPr="004B3C27" w:rsidRDefault="004B3C27" w:rsidP="004B3C27">
      <w:pPr>
        <w:adjustRightInd w:val="0"/>
        <w:spacing w:line="58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关于印发《安徽工程大学国际工程师学院项目甲控乙供材管理暂行办法》的通知</w:t>
      </w:r>
    </w:p>
    <w:p w:rsidR="004B3C27" w:rsidRDefault="004B3C27" w:rsidP="004B3C27">
      <w:pPr>
        <w:rPr>
          <w:rFonts w:ascii="仿宋_GB2312" w:eastAsia="仿宋_GB2312"/>
          <w:sz w:val="32"/>
          <w:szCs w:val="32"/>
        </w:rPr>
      </w:pPr>
    </w:p>
    <w:p w:rsidR="004B3C27" w:rsidRPr="00903B2C" w:rsidRDefault="004B3C27" w:rsidP="004B3C27">
      <w:pPr>
        <w:rPr>
          <w:rFonts w:ascii="仿宋_GB2312" w:eastAsia="仿宋_GB2312"/>
          <w:sz w:val="32"/>
          <w:szCs w:val="32"/>
        </w:rPr>
      </w:pPr>
      <w:r w:rsidRPr="00903B2C">
        <w:rPr>
          <w:rFonts w:ascii="仿宋_GB2312" w:eastAsia="仿宋_GB2312" w:hint="eastAsia"/>
          <w:sz w:val="32"/>
          <w:szCs w:val="32"/>
        </w:rPr>
        <w:t>各有关部门：</w:t>
      </w:r>
    </w:p>
    <w:p w:rsidR="004B3C27" w:rsidRPr="00903B2C" w:rsidRDefault="004B3C27" w:rsidP="004B3C27">
      <w:pPr>
        <w:ind w:firstLine="645"/>
        <w:rPr>
          <w:rFonts w:ascii="仿宋_GB2312" w:eastAsia="仿宋_GB2312"/>
          <w:sz w:val="32"/>
          <w:szCs w:val="32"/>
        </w:rPr>
      </w:pPr>
      <w:r w:rsidRPr="00903B2C">
        <w:rPr>
          <w:rFonts w:ascii="仿宋_GB2312" w:eastAsia="仿宋_GB2312" w:hint="eastAsia"/>
          <w:sz w:val="32"/>
          <w:szCs w:val="32"/>
        </w:rPr>
        <w:t>《安徽工程大学国际工程师学院甲控乙供材管理暂行办法》经处务会研究同意，现予以印发实施。</w:t>
      </w:r>
    </w:p>
    <w:p w:rsidR="004B3C27" w:rsidRDefault="004B3C27" w:rsidP="004B3C27">
      <w:pPr>
        <w:ind w:firstLine="645"/>
        <w:rPr>
          <w:rFonts w:ascii="仿宋_GB2312" w:eastAsia="仿宋_GB2312"/>
          <w:sz w:val="32"/>
          <w:szCs w:val="32"/>
        </w:rPr>
      </w:pPr>
    </w:p>
    <w:p w:rsidR="004B3C27" w:rsidRPr="00903B2C" w:rsidRDefault="004B3C27" w:rsidP="004B3C27">
      <w:pPr>
        <w:ind w:firstLine="645"/>
        <w:rPr>
          <w:rFonts w:ascii="仿宋_GB2312" w:eastAsia="仿宋_GB2312"/>
          <w:sz w:val="32"/>
          <w:szCs w:val="32"/>
        </w:rPr>
      </w:pPr>
    </w:p>
    <w:p w:rsidR="004B3C27" w:rsidRDefault="004B3C27" w:rsidP="004B3C27">
      <w:pPr>
        <w:rPr>
          <w:rFonts w:ascii="仿宋_GB2312" w:eastAsia="仿宋_GB2312"/>
          <w:sz w:val="32"/>
          <w:szCs w:val="32"/>
        </w:rPr>
      </w:pPr>
      <w:r>
        <w:rPr>
          <w:rFonts w:ascii="仿宋_GB2312" w:eastAsia="仿宋_GB2312" w:hint="eastAsia"/>
          <w:sz w:val="32"/>
          <w:szCs w:val="32"/>
        </w:rPr>
        <w:t xml:space="preserve">               </w:t>
      </w:r>
      <w:r w:rsidRPr="00903B2C">
        <w:rPr>
          <w:rFonts w:ascii="仿宋_GB2312" w:eastAsia="仿宋_GB2312" w:hint="eastAsia"/>
          <w:sz w:val="32"/>
          <w:szCs w:val="32"/>
        </w:rPr>
        <w:t xml:space="preserve">安徽工程大学国际工程师学院建设办公室                   </w:t>
      </w:r>
      <w:r>
        <w:rPr>
          <w:rFonts w:ascii="仿宋_GB2312" w:eastAsia="仿宋_GB2312" w:hint="eastAsia"/>
          <w:sz w:val="32"/>
          <w:szCs w:val="32"/>
        </w:rPr>
        <w:t xml:space="preserve">      </w:t>
      </w:r>
    </w:p>
    <w:p w:rsidR="004B3C27" w:rsidRPr="00903B2C" w:rsidRDefault="004B3C27" w:rsidP="004B3C27">
      <w:pPr>
        <w:ind w:firstLineChars="750" w:firstLine="2400"/>
        <w:rPr>
          <w:rFonts w:ascii="仿宋_GB2312" w:eastAsia="仿宋_GB2312"/>
          <w:sz w:val="32"/>
          <w:szCs w:val="32"/>
        </w:rPr>
      </w:pPr>
      <w:r>
        <w:rPr>
          <w:rFonts w:ascii="仿宋_GB2312" w:eastAsia="仿宋_GB2312" w:hint="eastAsia"/>
          <w:sz w:val="32"/>
          <w:szCs w:val="32"/>
        </w:rPr>
        <w:t xml:space="preserve">              </w:t>
      </w:r>
      <w:r w:rsidRPr="00903B2C">
        <w:rPr>
          <w:rFonts w:ascii="仿宋_GB2312" w:eastAsia="仿宋_GB2312" w:hint="eastAsia"/>
          <w:sz w:val="32"/>
          <w:szCs w:val="32"/>
        </w:rPr>
        <w:t xml:space="preserve"> 2018年5月3日</w:t>
      </w:r>
    </w:p>
    <w:p w:rsidR="004B3C27" w:rsidRDefault="004B3C27" w:rsidP="004B3C27">
      <w:pPr>
        <w:ind w:firstLineChars="1400" w:firstLine="2940"/>
      </w:pPr>
    </w:p>
    <w:p w:rsidR="004B3C27" w:rsidRDefault="004B3C27" w:rsidP="004B3C27">
      <w:pPr>
        <w:ind w:firstLineChars="1400" w:firstLine="2940"/>
      </w:pPr>
    </w:p>
    <w:p w:rsidR="004B3C27" w:rsidRDefault="004B3C27" w:rsidP="004B3C27">
      <w:pPr>
        <w:ind w:firstLineChars="1400" w:firstLine="2940"/>
      </w:pPr>
    </w:p>
    <w:p w:rsidR="004B3C27" w:rsidRDefault="004B3C27" w:rsidP="004B3C27">
      <w:pPr>
        <w:ind w:firstLineChars="1400" w:firstLine="2940"/>
      </w:pPr>
    </w:p>
    <w:p w:rsidR="004B3C27" w:rsidRDefault="004B3C27" w:rsidP="004B3C27">
      <w:pPr>
        <w:ind w:firstLineChars="1400" w:firstLine="2940"/>
      </w:pPr>
    </w:p>
    <w:p w:rsidR="004B3C27" w:rsidRDefault="004B3C27" w:rsidP="004B3C27">
      <w:pPr>
        <w:ind w:firstLineChars="1400" w:firstLine="2940"/>
      </w:pPr>
    </w:p>
    <w:p w:rsidR="004B3C27" w:rsidRDefault="004B3C27" w:rsidP="004B3C27">
      <w:pPr>
        <w:ind w:firstLineChars="1400" w:firstLine="2940"/>
      </w:pPr>
    </w:p>
    <w:p w:rsidR="004B3C27" w:rsidRDefault="004B3C27" w:rsidP="004B3C27">
      <w:pPr>
        <w:ind w:firstLineChars="1400" w:firstLine="2940"/>
      </w:pPr>
    </w:p>
    <w:p w:rsidR="004B3C27" w:rsidRDefault="004B3C27" w:rsidP="004B3C27">
      <w:pPr>
        <w:ind w:firstLineChars="1400" w:firstLine="2940"/>
      </w:pPr>
    </w:p>
    <w:p w:rsidR="004B3C27" w:rsidRDefault="004B3C27" w:rsidP="004B3C27">
      <w:pPr>
        <w:ind w:firstLineChars="1400" w:firstLine="2940"/>
      </w:pPr>
    </w:p>
    <w:p w:rsidR="004B3C27" w:rsidRDefault="004B3C27" w:rsidP="004B3C27">
      <w:pPr>
        <w:ind w:firstLineChars="1400" w:firstLine="2940"/>
      </w:pPr>
    </w:p>
    <w:p w:rsidR="004B3C27" w:rsidRDefault="004B3C27" w:rsidP="004B3C27">
      <w:pPr>
        <w:ind w:firstLineChars="1400" w:firstLine="2940"/>
      </w:pPr>
    </w:p>
    <w:p w:rsidR="004B3C27" w:rsidRDefault="004B3C27" w:rsidP="004B3C27">
      <w:pPr>
        <w:ind w:firstLineChars="1400" w:firstLine="2940"/>
      </w:pPr>
    </w:p>
    <w:p w:rsidR="004B3C27" w:rsidRDefault="004B3C27" w:rsidP="004B3C27">
      <w:pPr>
        <w:ind w:firstLineChars="1400" w:firstLine="2940"/>
      </w:pPr>
    </w:p>
    <w:p w:rsidR="004B3C27" w:rsidRDefault="004B3C27" w:rsidP="004B3C27">
      <w:pPr>
        <w:ind w:firstLineChars="1400" w:firstLine="2940"/>
      </w:pPr>
    </w:p>
    <w:p w:rsidR="004B3C27" w:rsidRPr="00F34E7B" w:rsidRDefault="004B3C27" w:rsidP="004B3C27">
      <w:pPr>
        <w:ind w:firstLineChars="1400" w:firstLine="2940"/>
      </w:pPr>
    </w:p>
    <w:p w:rsidR="004B3C27" w:rsidRPr="00903B2C" w:rsidRDefault="004B3C27" w:rsidP="004B3C27">
      <w:pPr>
        <w:jc w:val="center"/>
        <w:rPr>
          <w:rFonts w:ascii="仿宋_GB2312" w:eastAsia="仿宋_GB2312"/>
          <w:b/>
          <w:sz w:val="32"/>
          <w:szCs w:val="32"/>
        </w:rPr>
      </w:pPr>
      <w:r w:rsidRPr="00525555">
        <w:rPr>
          <w:rFonts w:ascii="仿宋_GB2312" w:eastAsia="仿宋_GB2312" w:hint="eastAsia"/>
          <w:b/>
          <w:sz w:val="32"/>
          <w:szCs w:val="32"/>
        </w:rPr>
        <w:lastRenderedPageBreak/>
        <w:t>安徽工程大学国际工程师学院甲控乙供材管理暂行办法</w:t>
      </w:r>
    </w:p>
    <w:p w:rsidR="004B3C27" w:rsidRPr="00903B2C" w:rsidRDefault="004B3C27" w:rsidP="004B3C27">
      <w:pPr>
        <w:jc w:val="center"/>
        <w:rPr>
          <w:rFonts w:ascii="仿宋_GB2312" w:eastAsia="仿宋_GB2312"/>
          <w:b/>
          <w:sz w:val="32"/>
          <w:szCs w:val="32"/>
        </w:rPr>
      </w:pPr>
    </w:p>
    <w:p w:rsidR="004B3C27" w:rsidRDefault="004B3C27" w:rsidP="004B3C27">
      <w:pPr>
        <w:ind w:firstLineChars="200" w:firstLine="640"/>
        <w:rPr>
          <w:rFonts w:ascii="仿宋_GB2312" w:eastAsia="仿宋_GB2312"/>
          <w:sz w:val="32"/>
          <w:szCs w:val="32"/>
        </w:rPr>
      </w:pPr>
      <w:r w:rsidRPr="00525555">
        <w:rPr>
          <w:rFonts w:ascii="仿宋_GB2312" w:eastAsia="仿宋_GB2312" w:hint="eastAsia"/>
          <w:sz w:val="32"/>
          <w:szCs w:val="32"/>
        </w:rPr>
        <w:t>为加强国际工程师学院基建项目所使用材料和设备等的质量管理，提高项目管理的效率和管理水平，特制定本暂行办法。本办法中的甲方为安徽工程大学国际工程师学院建设办公室；乙方为项目施工总承包方。</w:t>
      </w:r>
    </w:p>
    <w:p w:rsidR="004B3C27" w:rsidRPr="00903B2C" w:rsidRDefault="004B3C27" w:rsidP="004B3C27">
      <w:pPr>
        <w:rPr>
          <w:rFonts w:ascii="仿宋_GB2312" w:eastAsia="仿宋_GB2312" w:hAnsi="黑体"/>
          <w:b/>
          <w:sz w:val="32"/>
          <w:szCs w:val="32"/>
        </w:rPr>
      </w:pPr>
      <w:r w:rsidRPr="00525555">
        <w:rPr>
          <w:rFonts w:ascii="仿宋_GB2312" w:eastAsia="仿宋_GB2312" w:hAnsi="黑体"/>
          <w:b/>
          <w:sz w:val="32"/>
          <w:szCs w:val="32"/>
        </w:rPr>
        <w:t xml:space="preserve">    一、材料采购流程</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1.甲控乙供材采购前，乙方应根据工程施工合同、投标文件及招标文件，至少提前15日将甲控乙供材拟采购事项报监理单位、施工管理科审批，并提交《安徽工程大学国际工程师学院甲控乙供材采购审批单》（附件1），审批单中须包含材料名称、使用部位、品牌、规格型号、技术参数、数量、进场时间、相关证明材料等信息。</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2.监理单位负责审核工程承包人报审资料是否完整，以及拟采购甲控乙供材的品牌、规格型号、技术参数等与工程施工合同、投标文件和招标文件的约定是否一致。</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3.施工管理科对监理单位审核意见进行复核，必要时可邀请甲方代表、设计单位共同复核。《安徽工程大学国际工程师学院甲控乙供材采购审批单》经施工管理科、监理单位共同签署审批意见后应及时反馈给乙方。</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4.乙方取得《安徽工程大学国际工程师学院甲控乙供材采购审批单》后，方可实施甲控乙供材采购。未取得《安徽</w:t>
      </w:r>
      <w:r w:rsidRPr="00525555">
        <w:rPr>
          <w:rFonts w:ascii="仿宋_GB2312" w:eastAsia="仿宋_GB2312" w:hint="eastAsia"/>
          <w:sz w:val="32"/>
          <w:szCs w:val="32"/>
        </w:rPr>
        <w:lastRenderedPageBreak/>
        <w:t>工程大学国际工程师学院甲控乙供材采购审批单》即进行甲控乙供材采购，相关责任及所造成的损失由乙方承担。</w:t>
      </w:r>
    </w:p>
    <w:p w:rsidR="004B3C27" w:rsidRPr="00903B2C" w:rsidRDefault="004B3C27" w:rsidP="004B3C27">
      <w:pPr>
        <w:rPr>
          <w:rFonts w:ascii="仿宋_GB2312" w:eastAsia="仿宋_GB2312" w:hAnsi="黑体"/>
          <w:b/>
          <w:sz w:val="32"/>
          <w:szCs w:val="32"/>
        </w:rPr>
      </w:pPr>
      <w:r w:rsidRPr="00525555">
        <w:rPr>
          <w:rFonts w:ascii="仿宋_GB2312" w:eastAsia="仿宋_GB2312" w:hAnsi="黑体"/>
          <w:b/>
          <w:sz w:val="32"/>
          <w:szCs w:val="32"/>
        </w:rPr>
        <w:t xml:space="preserve">    二、材料验收</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材料进场后，乙方须立刻向监理单位申请报验，监理单位、甲方施工管理科负责人、跟踪审计人员按照甲方提供的图纸、招标文件、投标文件、采购合同以及招标时经甲方确认的材料封样、铭牌、合格证、质检报告等资料进行现场验收。如有需要可以外聘专家参与验收。具体验收规程如下：</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1.材料设备进场后，乙方须及时报请监理单位验收，并按安徽省监理用表要求提供《工程材料、构配件、设备报审表》、产品清单及数量（已载明工程名称、进场时间、规格型号、技术参数、数量、拟用部位、备注说明等信息）、产品质量证明文件（出厂合格证、型式检验报告）以及按合同约定的装饰材料环保检测报告、钢材出厂批号及发货单、设备质保书及产品说明书及其它报验材料。</w:t>
      </w:r>
      <w:r>
        <w:rPr>
          <w:rFonts w:ascii="仿宋_GB2312" w:eastAsia="仿宋_GB2312" w:hint="eastAsia"/>
          <w:sz w:val="32"/>
          <w:szCs w:val="32"/>
        </w:rPr>
        <w:t xml:space="preserve">    </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2.监理单位应于材料设备进场后8小时内对照《材料设备月度进场计划表》、《安徽工程大学国际工程师学院甲控乙供材采购审批单》及已封存样品开展材料设备验收和质量证明文件核查，其中，施工管理科事先提出需要多方共同参与验收的，应及时通知相关单位共同参与验收；验收时应完整采集影像资料。验收通过后，监理单位需将《工程材料、构配件、设备报审表》连续编号录入《材料设备月度进场计划</w:t>
      </w:r>
      <w:r w:rsidRPr="00525555">
        <w:rPr>
          <w:rFonts w:ascii="仿宋_GB2312" w:eastAsia="仿宋_GB2312" w:hint="eastAsia"/>
          <w:sz w:val="32"/>
          <w:szCs w:val="32"/>
        </w:rPr>
        <w:lastRenderedPageBreak/>
        <w:t>表》，并于每月前5日内将上月《材料设备月度进场计划表》执行情况书面上报施工管理科备案。</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3.乙方须在12小时内将验收未通过的乙供材全部清理出施工现场，同时抓紧重新组织相关乙供材采购并报请进场验收。乙方未在规定期限内将验收未通过的乙供材全部清理出施工现场，施工管理科将另行组织人员将这些验收未通过的乙供材作为无主废弃物清理出施工现场，相关清理费用从乙方的工程结算款中扣减，由此导致的一切损失由乙方承担。</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验收通过的材料设备，必须专用于合同工程。未经施工管理科和监理单位同意，乙方不得运出施工场地或挪作他用。 </w:t>
      </w:r>
    </w:p>
    <w:p w:rsidR="004B3C27" w:rsidRPr="00903B2C" w:rsidRDefault="004B3C27" w:rsidP="004B3C27">
      <w:pPr>
        <w:rPr>
          <w:rFonts w:ascii="仿宋_GB2312" w:eastAsia="仿宋_GB2312" w:hAnsi="黑体"/>
          <w:b/>
          <w:sz w:val="32"/>
          <w:szCs w:val="32"/>
        </w:rPr>
      </w:pPr>
      <w:r w:rsidRPr="00525555">
        <w:rPr>
          <w:rFonts w:ascii="仿宋_GB2312" w:eastAsia="仿宋_GB2312" w:hAnsi="黑体"/>
          <w:b/>
          <w:sz w:val="32"/>
          <w:szCs w:val="32"/>
        </w:rPr>
        <w:t xml:space="preserve">    三、材料监督和检查</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1.施工管理科应通过不定期现场抽查的方式对材料设备验收、现场管理情况开展监督检查。</w:t>
      </w:r>
    </w:p>
    <w:p w:rsidR="004B3C27" w:rsidRPr="00903B2C" w:rsidRDefault="004B3C27" w:rsidP="004B3C27">
      <w:pPr>
        <w:rPr>
          <w:rFonts w:ascii="仿宋_GB2312" w:eastAsia="仿宋_GB2312"/>
          <w:sz w:val="32"/>
          <w:szCs w:val="32"/>
        </w:rPr>
      </w:pPr>
      <w:r w:rsidRPr="00525555">
        <w:rPr>
          <w:rFonts w:ascii="仿宋_GB2312" w:eastAsia="仿宋_GB2312"/>
          <w:sz w:val="32"/>
          <w:szCs w:val="32"/>
        </w:rPr>
        <w:t xml:space="preserve">   </w:t>
      </w:r>
      <w:r w:rsidRPr="00525555">
        <w:rPr>
          <w:rFonts w:ascii="仿宋_GB2312" w:eastAsia="仿宋_GB2312" w:hint="eastAsia"/>
          <w:b/>
          <w:sz w:val="32"/>
          <w:szCs w:val="32"/>
        </w:rPr>
        <w:t xml:space="preserve"> 监督检查内容包括</w:t>
      </w:r>
      <w:r w:rsidRPr="00525555">
        <w:rPr>
          <w:rFonts w:ascii="仿宋_GB2312" w:eastAsia="仿宋_GB2312" w:hint="eastAsia"/>
          <w:sz w:val="32"/>
          <w:szCs w:val="32"/>
        </w:rPr>
        <w:t>：验收报审资料是否及时、完整；样品管理是否按本管理暂行办法执行；监理单位是否及时并严格开展验收，同时对已通过监理单位验收的材料设备再次进行抽样验收；对于应送检的材料设备，监理单位是否及时通知施工管理科，并切实履行现场见证取样职责；验收未通过和质量检验不合格的乙供材是否及时清退离场和拆除返工；已进场材料设备现场保管及是否存在挪作它用情况等。</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2.施工管理科每月对每个工程材料设备验收、现场管理情况监督检查应不少于2次；对材料设备抽样验收必须覆盖</w:t>
      </w:r>
      <w:r w:rsidRPr="00525555">
        <w:rPr>
          <w:rFonts w:ascii="仿宋_GB2312" w:eastAsia="仿宋_GB2312" w:hint="eastAsia"/>
          <w:sz w:val="32"/>
          <w:szCs w:val="32"/>
        </w:rPr>
        <w:lastRenderedPageBreak/>
        <w:t>该工程所涉所有材料设备门类。监督检查、材料设备抽样验收情况均应形成书面记录。取得乙方报备的《主要材料设备进场计划表》后，施工管理科应及时制订该工程材料设备验收、现场管理情况监督检查方案。</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3.对于监督检查中发现的监理单位在材料设备验收、送检通知、现场见证取样、抽样验收和质量检验不合格乙供材清退离场及拆除返工、已进场材料设备现场管理及样品管理等工作中存在的问题，施工管理科有权要求监理单位限时加以整改，并对整改落实情况进行验收检查。</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4.甲方对乙方采购的材料和设备存在质疑的，甲方有权委托第三方检测机构进行检测，送检合格产生的费用由甲方承担，送检不合格产生的费用由乙方承担。</w:t>
      </w:r>
    </w:p>
    <w:p w:rsidR="004B3C27" w:rsidRPr="00903B2C" w:rsidRDefault="004B3C27" w:rsidP="004B3C27">
      <w:pPr>
        <w:rPr>
          <w:rFonts w:ascii="仿宋_GB2312" w:eastAsia="仿宋_GB2312" w:hAnsi="黑体"/>
          <w:b/>
          <w:sz w:val="32"/>
          <w:szCs w:val="32"/>
        </w:rPr>
      </w:pPr>
      <w:r w:rsidRPr="00525555">
        <w:rPr>
          <w:rFonts w:ascii="仿宋_GB2312" w:eastAsia="仿宋_GB2312" w:hAnsi="黑体"/>
          <w:b/>
          <w:sz w:val="32"/>
          <w:szCs w:val="32"/>
        </w:rPr>
        <w:t xml:space="preserve">    四、材料变更</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乙方须严格按照《安徽工程大学国际工程师学院甲控乙供材采购审批单》实施甲控乙供材采购。采购过程中，若因《安徽工程大学国际工程师学院甲控乙供材采购审批单》限定材料设备停产、市场脱销等原因导致采购受阻，乙方应及时将有关情况报告监理单位、施工管理科。经各方协商同意，原则上在施工招标文件给定范围内选择替代产品；若施工招标文件给定范围内产品因市场原因亦无法按工程需要采购，应履行相关程序后重新采购。采购替代产品须于实际采购前办理工程变更审批、采购审批及样品封存手续。未经建设办</w:t>
      </w:r>
      <w:r w:rsidRPr="00525555">
        <w:rPr>
          <w:rFonts w:ascii="仿宋_GB2312" w:eastAsia="仿宋_GB2312" w:hint="eastAsia"/>
          <w:sz w:val="32"/>
          <w:szCs w:val="32"/>
        </w:rPr>
        <w:lastRenderedPageBreak/>
        <w:t>同意，乙方擅自采购《安徽工程大学国际工程师学院甲控乙供材采购审批单》以外甲控乙供材或不严格按《安徽工程大学国际工程师学院甲控乙供材采购审批单》采购，相关责任及所造成的损失由乙方承担。</w:t>
      </w:r>
    </w:p>
    <w:p w:rsidR="004B3C27" w:rsidRPr="00903B2C" w:rsidRDefault="004B3C27" w:rsidP="004B3C27">
      <w:pPr>
        <w:rPr>
          <w:rFonts w:ascii="仿宋_GB2312" w:eastAsia="仿宋_GB2312" w:hAnsi="黑体"/>
          <w:b/>
          <w:sz w:val="32"/>
          <w:szCs w:val="32"/>
        </w:rPr>
      </w:pPr>
      <w:r w:rsidRPr="00525555">
        <w:rPr>
          <w:rFonts w:ascii="仿宋_GB2312" w:eastAsia="仿宋_GB2312" w:hAnsi="黑体"/>
          <w:b/>
          <w:sz w:val="32"/>
          <w:szCs w:val="32"/>
        </w:rPr>
        <w:t xml:space="preserve">    五、样品管理</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1.乙方、监理单位和施工管理科负责样品的保管和封存；乙方应按监理单位要求为样品保存提供独立、固定、具有合适保存条件和足够空间的场所作为样品库。样品及样品报审费用、样品库建设及维护费用由乙方承担。</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2.乙方和监理单位应有固定人员负责样品的收集、分类、封签、登记、保管、维护、出借及回收等工作。监理单位确保样品实物及台帐的有效性、可追溯性和可验证性；并于每月底前将更新后的《样品登记表》通过电子邮件报送施工管理科备案。</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3.入库样品应实行台帐式管理，详细记录样品分类编号、材料设备名称、型号规格参数、品牌及产地、主要使用部位、工程项目名称、送样单位、供应单位、封样日期、送样单位联系人姓名及联系方式、借用时间、回收时间、借用单位、借用人和归还人姓名及联系方式等信息。样品台帐应采取计算机信息化管理并及时更新。</w:t>
      </w:r>
    </w:p>
    <w:p w:rsidR="004B3C27" w:rsidRPr="00903B2C" w:rsidRDefault="004B3C27" w:rsidP="004B3C27">
      <w:pPr>
        <w:rPr>
          <w:rFonts w:ascii="仿宋_GB2312" w:eastAsia="仿宋_GB2312"/>
          <w:sz w:val="32"/>
          <w:szCs w:val="32"/>
        </w:rPr>
      </w:pPr>
      <w:r w:rsidRPr="00525555">
        <w:rPr>
          <w:rFonts w:ascii="仿宋_GB2312" w:eastAsia="仿宋_GB2312" w:hint="eastAsia"/>
          <w:sz w:val="32"/>
          <w:szCs w:val="32"/>
        </w:rPr>
        <w:t xml:space="preserve">    4.入库样品应设置封样标签。封样标签应注明样品分类编号。</w:t>
      </w:r>
    </w:p>
    <w:p w:rsidR="004B3C27" w:rsidRPr="00903B2C" w:rsidRDefault="004B3C27" w:rsidP="004B3C27">
      <w:pPr>
        <w:ind w:firstLine="645"/>
        <w:rPr>
          <w:rFonts w:ascii="仿宋_GB2312" w:eastAsia="仿宋_GB2312"/>
          <w:sz w:val="32"/>
          <w:szCs w:val="32"/>
        </w:rPr>
      </w:pPr>
      <w:r w:rsidRPr="00525555">
        <w:rPr>
          <w:rFonts w:ascii="仿宋_GB2312" w:eastAsia="仿宋_GB2312" w:hint="eastAsia"/>
          <w:sz w:val="32"/>
          <w:szCs w:val="32"/>
        </w:rPr>
        <w:lastRenderedPageBreak/>
        <w:t>5.样品及封样标签原则上保存至工程竣工之日；经监理单位和施工管理科同意，乙方可将样品实物用于工程施工，但使用前应由监理单位采集相关影像资料信息备查。样品台帐纸质文件经样品库管理人员及工程总监签字，待工程竣工交付使用后移交施工管理科。</w:t>
      </w:r>
    </w:p>
    <w:p w:rsidR="004B3C27" w:rsidRDefault="004B3C27" w:rsidP="004B3C27">
      <w:r>
        <w:rPr>
          <w:rFonts w:hint="eastAsia"/>
        </w:rPr>
        <w:t xml:space="preserve">     </w:t>
      </w:r>
    </w:p>
    <w:p w:rsidR="004B3C27" w:rsidRDefault="004B3C27" w:rsidP="004B3C27">
      <w:pPr>
        <w:rPr>
          <w:rFonts w:ascii="宋体" w:hAnsi="宋体" w:cs="宋体"/>
          <w:spacing w:val="-2"/>
          <w:kern w:val="0"/>
          <w:sz w:val="24"/>
        </w:rPr>
      </w:pPr>
      <w:r w:rsidRPr="00525555">
        <w:rPr>
          <w:rFonts w:ascii="仿宋_GB2312" w:eastAsia="仿宋_GB2312" w:hint="eastAsia"/>
          <w:sz w:val="28"/>
          <w:szCs w:val="28"/>
        </w:rPr>
        <w:t>附件：安徽工程大学国际工程师学院甲控乙供材采购审批单</w:t>
      </w:r>
    </w:p>
    <w:p w:rsidR="004B3C27" w:rsidRDefault="004B3C27"/>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 w:rsidR="00C738CA" w:rsidRDefault="00C738CA">
      <w:pPr>
        <w:rPr>
          <w:rFonts w:hint="eastAsia"/>
        </w:rPr>
      </w:pPr>
    </w:p>
    <w:p w:rsidR="006A5A33" w:rsidRPr="006A5A33" w:rsidRDefault="006A5A33"/>
    <w:p w:rsidR="006A5A33" w:rsidRPr="00E20460" w:rsidRDefault="006A5A33" w:rsidP="006A5A33">
      <w:pPr>
        <w:jc w:val="center"/>
        <w:rPr>
          <w:rFonts w:ascii="仿宋_GB2312"/>
          <w:b/>
          <w:szCs w:val="32"/>
        </w:rPr>
      </w:pPr>
      <w:r w:rsidRPr="00E20460">
        <w:rPr>
          <w:rFonts w:ascii="仿宋_GB2312" w:hint="eastAsia"/>
          <w:b/>
          <w:szCs w:val="32"/>
        </w:rPr>
        <w:lastRenderedPageBreak/>
        <w:t>安徽工程大学国际工程师学院甲控乙供材采购审批单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2842"/>
        <w:gridCol w:w="1419"/>
        <w:gridCol w:w="2785"/>
      </w:tblGrid>
      <w:tr w:rsidR="006A5A33" w:rsidRPr="00E20460" w:rsidTr="00247453">
        <w:trPr>
          <w:trHeight w:val="816"/>
        </w:trPr>
        <w:tc>
          <w:tcPr>
            <w:tcW w:w="1551" w:type="dxa"/>
            <w:vAlign w:val="center"/>
          </w:tcPr>
          <w:p w:rsidR="006A5A33" w:rsidRPr="00B36DDD" w:rsidRDefault="006A5A33" w:rsidP="00247453">
            <w:pPr>
              <w:jc w:val="center"/>
              <w:rPr>
                <w:rFonts w:ascii="仿宋_GB2312"/>
                <w:sz w:val="28"/>
                <w:szCs w:val="28"/>
              </w:rPr>
            </w:pPr>
            <w:r w:rsidRPr="00B36DDD">
              <w:rPr>
                <w:rFonts w:ascii="仿宋_GB2312" w:hint="eastAsia"/>
                <w:sz w:val="28"/>
                <w:szCs w:val="28"/>
              </w:rPr>
              <w:t>材料名称</w:t>
            </w:r>
          </w:p>
        </w:tc>
        <w:tc>
          <w:tcPr>
            <w:tcW w:w="7510" w:type="dxa"/>
            <w:gridSpan w:val="3"/>
            <w:vAlign w:val="center"/>
          </w:tcPr>
          <w:p w:rsidR="006A5A33" w:rsidRPr="00B36DDD" w:rsidRDefault="006A5A33" w:rsidP="00247453">
            <w:pPr>
              <w:jc w:val="center"/>
              <w:rPr>
                <w:rFonts w:ascii="仿宋_GB2312"/>
                <w:sz w:val="28"/>
                <w:szCs w:val="28"/>
              </w:rPr>
            </w:pPr>
          </w:p>
          <w:p w:rsidR="006A5A33" w:rsidRPr="00B36DDD" w:rsidRDefault="006A5A33" w:rsidP="00247453">
            <w:pPr>
              <w:jc w:val="center"/>
              <w:rPr>
                <w:rFonts w:ascii="仿宋_GB2312"/>
                <w:sz w:val="28"/>
                <w:szCs w:val="28"/>
              </w:rPr>
            </w:pPr>
          </w:p>
        </w:tc>
      </w:tr>
      <w:tr w:rsidR="006A5A33" w:rsidRPr="00E20460" w:rsidTr="00247453">
        <w:trPr>
          <w:trHeight w:val="551"/>
        </w:trPr>
        <w:tc>
          <w:tcPr>
            <w:tcW w:w="1551" w:type="dxa"/>
            <w:vAlign w:val="center"/>
          </w:tcPr>
          <w:p w:rsidR="006A5A33" w:rsidRPr="00B36DDD" w:rsidRDefault="006A5A33" w:rsidP="00247453">
            <w:pPr>
              <w:jc w:val="center"/>
              <w:rPr>
                <w:rFonts w:ascii="仿宋_GB2312"/>
                <w:sz w:val="28"/>
                <w:szCs w:val="28"/>
              </w:rPr>
            </w:pPr>
            <w:r w:rsidRPr="00B36DDD">
              <w:rPr>
                <w:rFonts w:ascii="仿宋_GB2312" w:hint="eastAsia"/>
                <w:sz w:val="28"/>
                <w:szCs w:val="28"/>
              </w:rPr>
              <w:t>使用部位</w:t>
            </w:r>
          </w:p>
        </w:tc>
        <w:tc>
          <w:tcPr>
            <w:tcW w:w="3041" w:type="dxa"/>
            <w:vAlign w:val="center"/>
          </w:tcPr>
          <w:p w:rsidR="006A5A33" w:rsidRPr="00B36DDD" w:rsidRDefault="006A5A33" w:rsidP="00247453">
            <w:pPr>
              <w:jc w:val="center"/>
              <w:rPr>
                <w:rFonts w:ascii="仿宋_GB2312"/>
                <w:sz w:val="28"/>
                <w:szCs w:val="28"/>
              </w:rPr>
            </w:pPr>
          </w:p>
        </w:tc>
        <w:tc>
          <w:tcPr>
            <w:tcW w:w="1489" w:type="dxa"/>
            <w:vAlign w:val="center"/>
          </w:tcPr>
          <w:p w:rsidR="006A5A33" w:rsidRPr="00B36DDD" w:rsidRDefault="006A5A33" w:rsidP="00247453">
            <w:pPr>
              <w:jc w:val="center"/>
              <w:rPr>
                <w:rFonts w:ascii="仿宋_GB2312"/>
                <w:sz w:val="28"/>
                <w:szCs w:val="28"/>
              </w:rPr>
            </w:pPr>
            <w:r w:rsidRPr="00B36DDD">
              <w:rPr>
                <w:rFonts w:ascii="仿宋_GB2312" w:hint="eastAsia"/>
                <w:sz w:val="28"/>
                <w:szCs w:val="28"/>
              </w:rPr>
              <w:t>数量</w:t>
            </w:r>
          </w:p>
        </w:tc>
        <w:tc>
          <w:tcPr>
            <w:tcW w:w="2980" w:type="dxa"/>
            <w:vAlign w:val="center"/>
          </w:tcPr>
          <w:p w:rsidR="006A5A33" w:rsidRPr="00B36DDD" w:rsidRDefault="006A5A33" w:rsidP="00247453">
            <w:pPr>
              <w:jc w:val="center"/>
              <w:rPr>
                <w:rFonts w:ascii="仿宋_GB2312"/>
                <w:sz w:val="28"/>
                <w:szCs w:val="28"/>
              </w:rPr>
            </w:pPr>
          </w:p>
        </w:tc>
      </w:tr>
      <w:tr w:rsidR="006A5A33" w:rsidRPr="00E20460" w:rsidTr="00247453">
        <w:trPr>
          <w:trHeight w:val="617"/>
        </w:trPr>
        <w:tc>
          <w:tcPr>
            <w:tcW w:w="1551" w:type="dxa"/>
            <w:vAlign w:val="center"/>
          </w:tcPr>
          <w:p w:rsidR="006A5A33" w:rsidRPr="00B36DDD" w:rsidRDefault="006A5A33" w:rsidP="00247453">
            <w:pPr>
              <w:jc w:val="center"/>
              <w:rPr>
                <w:rFonts w:ascii="仿宋_GB2312"/>
                <w:sz w:val="28"/>
                <w:szCs w:val="28"/>
              </w:rPr>
            </w:pPr>
            <w:r w:rsidRPr="00B36DDD">
              <w:rPr>
                <w:rFonts w:ascii="仿宋_GB2312" w:hint="eastAsia"/>
                <w:sz w:val="28"/>
                <w:szCs w:val="28"/>
              </w:rPr>
              <w:t>品牌</w:t>
            </w:r>
          </w:p>
        </w:tc>
        <w:tc>
          <w:tcPr>
            <w:tcW w:w="3041" w:type="dxa"/>
            <w:vAlign w:val="center"/>
          </w:tcPr>
          <w:p w:rsidR="006A5A33" w:rsidRPr="00B36DDD" w:rsidRDefault="006A5A33" w:rsidP="00247453">
            <w:pPr>
              <w:jc w:val="center"/>
              <w:rPr>
                <w:rFonts w:ascii="仿宋_GB2312"/>
                <w:sz w:val="28"/>
                <w:szCs w:val="28"/>
              </w:rPr>
            </w:pPr>
          </w:p>
        </w:tc>
        <w:tc>
          <w:tcPr>
            <w:tcW w:w="1489" w:type="dxa"/>
            <w:vAlign w:val="center"/>
          </w:tcPr>
          <w:p w:rsidR="006A5A33" w:rsidRPr="00B36DDD" w:rsidRDefault="006A5A33" w:rsidP="00247453">
            <w:pPr>
              <w:jc w:val="center"/>
              <w:rPr>
                <w:rFonts w:ascii="仿宋_GB2312"/>
                <w:sz w:val="28"/>
                <w:szCs w:val="28"/>
              </w:rPr>
            </w:pPr>
            <w:r w:rsidRPr="00B36DDD">
              <w:rPr>
                <w:rFonts w:ascii="仿宋_GB2312" w:hint="eastAsia"/>
                <w:sz w:val="28"/>
                <w:szCs w:val="28"/>
              </w:rPr>
              <w:t>进场时间</w:t>
            </w:r>
          </w:p>
        </w:tc>
        <w:tc>
          <w:tcPr>
            <w:tcW w:w="2980" w:type="dxa"/>
            <w:vAlign w:val="center"/>
          </w:tcPr>
          <w:p w:rsidR="006A5A33" w:rsidRPr="00B36DDD" w:rsidRDefault="006A5A33" w:rsidP="00247453">
            <w:pPr>
              <w:jc w:val="center"/>
              <w:rPr>
                <w:rFonts w:ascii="仿宋_GB2312"/>
                <w:sz w:val="28"/>
                <w:szCs w:val="28"/>
              </w:rPr>
            </w:pPr>
          </w:p>
        </w:tc>
      </w:tr>
      <w:tr w:rsidR="006A5A33" w:rsidRPr="00E20460" w:rsidTr="00247453">
        <w:trPr>
          <w:trHeight w:val="554"/>
        </w:trPr>
        <w:tc>
          <w:tcPr>
            <w:tcW w:w="1551" w:type="dxa"/>
            <w:vAlign w:val="center"/>
          </w:tcPr>
          <w:p w:rsidR="006A5A33" w:rsidRPr="00B36DDD" w:rsidRDefault="006A5A33" w:rsidP="00247453">
            <w:pPr>
              <w:jc w:val="center"/>
              <w:rPr>
                <w:rFonts w:ascii="仿宋_GB2312"/>
                <w:sz w:val="28"/>
                <w:szCs w:val="28"/>
              </w:rPr>
            </w:pPr>
            <w:r w:rsidRPr="00B36DDD">
              <w:rPr>
                <w:rFonts w:ascii="仿宋_GB2312" w:hint="eastAsia"/>
                <w:sz w:val="28"/>
                <w:szCs w:val="28"/>
              </w:rPr>
              <w:t>规格型号</w:t>
            </w:r>
          </w:p>
        </w:tc>
        <w:tc>
          <w:tcPr>
            <w:tcW w:w="7510" w:type="dxa"/>
            <w:gridSpan w:val="3"/>
            <w:vAlign w:val="center"/>
          </w:tcPr>
          <w:p w:rsidR="006A5A33" w:rsidRPr="00B36DDD" w:rsidRDefault="006A5A33" w:rsidP="00247453">
            <w:pPr>
              <w:jc w:val="center"/>
              <w:rPr>
                <w:rFonts w:ascii="仿宋_GB2312"/>
                <w:sz w:val="28"/>
                <w:szCs w:val="28"/>
              </w:rPr>
            </w:pPr>
          </w:p>
        </w:tc>
      </w:tr>
      <w:tr w:rsidR="006A5A33" w:rsidRPr="00E20460" w:rsidTr="00247453">
        <w:trPr>
          <w:trHeight w:val="1626"/>
        </w:trPr>
        <w:tc>
          <w:tcPr>
            <w:tcW w:w="1551" w:type="dxa"/>
            <w:vAlign w:val="center"/>
          </w:tcPr>
          <w:p w:rsidR="006A5A33" w:rsidRPr="00B36DDD" w:rsidRDefault="006A5A33" w:rsidP="00247453">
            <w:pPr>
              <w:jc w:val="center"/>
              <w:rPr>
                <w:rFonts w:ascii="仿宋_GB2312"/>
                <w:sz w:val="28"/>
                <w:szCs w:val="28"/>
              </w:rPr>
            </w:pPr>
            <w:r w:rsidRPr="00B36DDD">
              <w:rPr>
                <w:rFonts w:ascii="仿宋_GB2312" w:hint="eastAsia"/>
                <w:sz w:val="28"/>
                <w:szCs w:val="28"/>
              </w:rPr>
              <w:t>技术参数</w:t>
            </w:r>
          </w:p>
        </w:tc>
        <w:tc>
          <w:tcPr>
            <w:tcW w:w="7510" w:type="dxa"/>
            <w:gridSpan w:val="3"/>
            <w:vAlign w:val="center"/>
          </w:tcPr>
          <w:p w:rsidR="006A5A33" w:rsidRPr="00B36DDD" w:rsidRDefault="006A5A33" w:rsidP="00247453">
            <w:pPr>
              <w:jc w:val="center"/>
              <w:rPr>
                <w:rFonts w:ascii="仿宋_GB2312"/>
                <w:sz w:val="28"/>
                <w:szCs w:val="28"/>
              </w:rPr>
            </w:pPr>
          </w:p>
          <w:p w:rsidR="006A5A33" w:rsidRPr="00B36DDD" w:rsidRDefault="006A5A33" w:rsidP="00247453">
            <w:pPr>
              <w:jc w:val="center"/>
              <w:rPr>
                <w:rFonts w:ascii="仿宋_GB2312"/>
                <w:sz w:val="28"/>
                <w:szCs w:val="28"/>
              </w:rPr>
            </w:pPr>
          </w:p>
          <w:p w:rsidR="006A5A33" w:rsidRPr="00B36DDD" w:rsidRDefault="006A5A33" w:rsidP="00247453">
            <w:pPr>
              <w:jc w:val="center"/>
              <w:rPr>
                <w:rFonts w:ascii="仿宋_GB2312"/>
                <w:sz w:val="28"/>
                <w:szCs w:val="28"/>
              </w:rPr>
            </w:pPr>
          </w:p>
        </w:tc>
      </w:tr>
      <w:tr w:rsidR="006A5A33" w:rsidRPr="00E20460" w:rsidTr="00247453">
        <w:trPr>
          <w:trHeight w:val="1582"/>
        </w:trPr>
        <w:tc>
          <w:tcPr>
            <w:tcW w:w="1551" w:type="dxa"/>
            <w:vAlign w:val="center"/>
          </w:tcPr>
          <w:p w:rsidR="006A5A33" w:rsidRPr="00B36DDD" w:rsidRDefault="006A5A33" w:rsidP="00247453">
            <w:pPr>
              <w:jc w:val="center"/>
              <w:rPr>
                <w:rFonts w:ascii="仿宋_GB2312"/>
                <w:sz w:val="28"/>
                <w:szCs w:val="28"/>
              </w:rPr>
            </w:pPr>
            <w:r w:rsidRPr="00B36DDD">
              <w:rPr>
                <w:rFonts w:ascii="仿宋_GB2312" w:hint="eastAsia"/>
                <w:sz w:val="28"/>
                <w:szCs w:val="28"/>
              </w:rPr>
              <w:t>相关证明材料</w:t>
            </w:r>
          </w:p>
        </w:tc>
        <w:tc>
          <w:tcPr>
            <w:tcW w:w="7510" w:type="dxa"/>
            <w:gridSpan w:val="3"/>
            <w:vAlign w:val="center"/>
          </w:tcPr>
          <w:p w:rsidR="006A5A33" w:rsidRPr="00B36DDD" w:rsidRDefault="006A5A33" w:rsidP="00247453">
            <w:pPr>
              <w:jc w:val="center"/>
              <w:rPr>
                <w:rFonts w:ascii="仿宋_GB2312"/>
                <w:sz w:val="28"/>
                <w:szCs w:val="28"/>
              </w:rPr>
            </w:pPr>
          </w:p>
          <w:p w:rsidR="006A5A33" w:rsidRPr="00B36DDD" w:rsidRDefault="006A5A33" w:rsidP="00247453">
            <w:pPr>
              <w:rPr>
                <w:rFonts w:ascii="仿宋_GB2312"/>
                <w:sz w:val="28"/>
                <w:szCs w:val="28"/>
              </w:rPr>
            </w:pPr>
          </w:p>
        </w:tc>
      </w:tr>
      <w:tr w:rsidR="006A5A33" w:rsidRPr="00E20460" w:rsidTr="00247453">
        <w:trPr>
          <w:trHeight w:val="1832"/>
        </w:trPr>
        <w:tc>
          <w:tcPr>
            <w:tcW w:w="1551" w:type="dxa"/>
            <w:vAlign w:val="center"/>
          </w:tcPr>
          <w:p w:rsidR="006A5A33" w:rsidRPr="00B36DDD" w:rsidRDefault="006A5A33" w:rsidP="00247453">
            <w:pPr>
              <w:jc w:val="center"/>
              <w:rPr>
                <w:rFonts w:ascii="仿宋_GB2312"/>
                <w:sz w:val="28"/>
                <w:szCs w:val="28"/>
              </w:rPr>
            </w:pPr>
            <w:r>
              <w:rPr>
                <w:rFonts w:ascii="仿宋_GB2312" w:hint="eastAsia"/>
                <w:sz w:val="28"/>
                <w:szCs w:val="28"/>
              </w:rPr>
              <w:t>施工单位申报意见</w:t>
            </w:r>
          </w:p>
        </w:tc>
        <w:tc>
          <w:tcPr>
            <w:tcW w:w="7510" w:type="dxa"/>
            <w:gridSpan w:val="3"/>
            <w:vAlign w:val="center"/>
          </w:tcPr>
          <w:p w:rsidR="006A5A33" w:rsidRPr="00B36DDD" w:rsidRDefault="006A5A33" w:rsidP="00247453">
            <w:pPr>
              <w:jc w:val="center"/>
              <w:rPr>
                <w:rFonts w:ascii="仿宋_GB2312"/>
                <w:sz w:val="28"/>
                <w:szCs w:val="28"/>
              </w:rPr>
            </w:pPr>
          </w:p>
        </w:tc>
      </w:tr>
      <w:tr w:rsidR="006A5A33" w:rsidRPr="00E20460" w:rsidTr="00247453">
        <w:trPr>
          <w:trHeight w:val="1541"/>
        </w:trPr>
        <w:tc>
          <w:tcPr>
            <w:tcW w:w="1551" w:type="dxa"/>
            <w:vAlign w:val="center"/>
          </w:tcPr>
          <w:p w:rsidR="006A5A33" w:rsidRPr="00B36DDD" w:rsidRDefault="006A5A33" w:rsidP="00247453">
            <w:pPr>
              <w:jc w:val="center"/>
              <w:rPr>
                <w:rFonts w:ascii="仿宋_GB2312"/>
                <w:sz w:val="28"/>
                <w:szCs w:val="28"/>
              </w:rPr>
            </w:pPr>
            <w:r w:rsidRPr="00B36DDD">
              <w:rPr>
                <w:rFonts w:ascii="仿宋_GB2312" w:hint="eastAsia"/>
                <w:sz w:val="28"/>
                <w:szCs w:val="28"/>
              </w:rPr>
              <w:t>监理</w:t>
            </w:r>
            <w:r>
              <w:rPr>
                <w:rFonts w:ascii="仿宋_GB2312" w:hint="eastAsia"/>
                <w:sz w:val="28"/>
                <w:szCs w:val="28"/>
              </w:rPr>
              <w:t>单位</w:t>
            </w:r>
            <w:r w:rsidRPr="00B36DDD">
              <w:rPr>
                <w:rFonts w:ascii="仿宋_GB2312" w:hint="eastAsia"/>
                <w:sz w:val="28"/>
                <w:szCs w:val="28"/>
              </w:rPr>
              <w:t>审核意见</w:t>
            </w:r>
          </w:p>
        </w:tc>
        <w:tc>
          <w:tcPr>
            <w:tcW w:w="7510" w:type="dxa"/>
            <w:gridSpan w:val="3"/>
            <w:vAlign w:val="center"/>
          </w:tcPr>
          <w:p w:rsidR="006A5A33" w:rsidRPr="00B36DDD" w:rsidRDefault="006A5A33" w:rsidP="00247453">
            <w:pPr>
              <w:jc w:val="center"/>
              <w:rPr>
                <w:rFonts w:ascii="仿宋_GB2312"/>
                <w:sz w:val="28"/>
                <w:szCs w:val="28"/>
              </w:rPr>
            </w:pPr>
          </w:p>
          <w:p w:rsidR="006A5A33" w:rsidRPr="00B36DDD" w:rsidRDefault="006A5A33" w:rsidP="00247453">
            <w:pPr>
              <w:jc w:val="center"/>
              <w:rPr>
                <w:rFonts w:ascii="仿宋_GB2312"/>
                <w:sz w:val="28"/>
                <w:szCs w:val="28"/>
              </w:rPr>
            </w:pPr>
          </w:p>
          <w:p w:rsidR="006A5A33" w:rsidRPr="00B36DDD" w:rsidRDefault="006A5A33" w:rsidP="00247453">
            <w:pPr>
              <w:jc w:val="center"/>
              <w:rPr>
                <w:rFonts w:ascii="仿宋_GB2312"/>
                <w:sz w:val="28"/>
                <w:szCs w:val="28"/>
              </w:rPr>
            </w:pPr>
          </w:p>
        </w:tc>
      </w:tr>
      <w:tr w:rsidR="006A5A33" w:rsidRPr="00E20460" w:rsidTr="00247453">
        <w:trPr>
          <w:trHeight w:val="2078"/>
        </w:trPr>
        <w:tc>
          <w:tcPr>
            <w:tcW w:w="1551" w:type="dxa"/>
            <w:vAlign w:val="center"/>
          </w:tcPr>
          <w:p w:rsidR="006A5A33" w:rsidRPr="00B36DDD" w:rsidRDefault="006A5A33" w:rsidP="00247453">
            <w:pPr>
              <w:jc w:val="center"/>
              <w:rPr>
                <w:rFonts w:ascii="仿宋_GB2312"/>
                <w:sz w:val="28"/>
                <w:szCs w:val="28"/>
              </w:rPr>
            </w:pPr>
            <w:r>
              <w:rPr>
                <w:rFonts w:ascii="仿宋_GB2312" w:hint="eastAsia"/>
                <w:sz w:val="28"/>
                <w:szCs w:val="28"/>
              </w:rPr>
              <w:t>建设单位审核</w:t>
            </w:r>
            <w:bookmarkStart w:id="0" w:name="_GoBack"/>
            <w:bookmarkEnd w:id="0"/>
            <w:r w:rsidRPr="00B36DDD">
              <w:rPr>
                <w:rFonts w:ascii="仿宋_GB2312" w:hint="eastAsia"/>
                <w:sz w:val="28"/>
                <w:szCs w:val="28"/>
              </w:rPr>
              <w:t>意见</w:t>
            </w:r>
          </w:p>
        </w:tc>
        <w:tc>
          <w:tcPr>
            <w:tcW w:w="7510" w:type="dxa"/>
            <w:gridSpan w:val="3"/>
            <w:vAlign w:val="center"/>
          </w:tcPr>
          <w:p w:rsidR="006A5A33" w:rsidRPr="00B36DDD" w:rsidRDefault="006A5A33" w:rsidP="00247453">
            <w:pPr>
              <w:jc w:val="center"/>
              <w:rPr>
                <w:rFonts w:ascii="仿宋_GB2312"/>
                <w:sz w:val="28"/>
                <w:szCs w:val="28"/>
              </w:rPr>
            </w:pPr>
          </w:p>
          <w:p w:rsidR="006A5A33" w:rsidRPr="00B36DDD" w:rsidRDefault="006A5A33" w:rsidP="00247453">
            <w:pPr>
              <w:jc w:val="center"/>
              <w:rPr>
                <w:rFonts w:ascii="仿宋_GB2312"/>
                <w:sz w:val="28"/>
                <w:szCs w:val="28"/>
              </w:rPr>
            </w:pPr>
          </w:p>
          <w:p w:rsidR="006A5A33" w:rsidRPr="00B36DDD" w:rsidRDefault="006A5A33" w:rsidP="00247453">
            <w:pPr>
              <w:jc w:val="center"/>
              <w:rPr>
                <w:rFonts w:ascii="仿宋_GB2312"/>
                <w:sz w:val="28"/>
                <w:szCs w:val="28"/>
              </w:rPr>
            </w:pPr>
          </w:p>
        </w:tc>
      </w:tr>
      <w:tr w:rsidR="006A5A33" w:rsidRPr="00E20460" w:rsidTr="00247453">
        <w:tc>
          <w:tcPr>
            <w:tcW w:w="1551" w:type="dxa"/>
            <w:vAlign w:val="center"/>
          </w:tcPr>
          <w:p w:rsidR="006A5A33" w:rsidRPr="00B36DDD" w:rsidRDefault="006A5A33" w:rsidP="00247453">
            <w:pPr>
              <w:jc w:val="center"/>
              <w:rPr>
                <w:rFonts w:ascii="仿宋_GB2312"/>
                <w:sz w:val="28"/>
                <w:szCs w:val="28"/>
              </w:rPr>
            </w:pPr>
            <w:r w:rsidRPr="00B36DDD">
              <w:rPr>
                <w:rFonts w:ascii="仿宋_GB2312" w:hint="eastAsia"/>
                <w:sz w:val="28"/>
                <w:szCs w:val="28"/>
              </w:rPr>
              <w:t>备注</w:t>
            </w:r>
          </w:p>
        </w:tc>
        <w:tc>
          <w:tcPr>
            <w:tcW w:w="7510" w:type="dxa"/>
            <w:gridSpan w:val="3"/>
            <w:vAlign w:val="center"/>
          </w:tcPr>
          <w:p w:rsidR="006A5A33" w:rsidRPr="00B36DDD" w:rsidRDefault="006A5A33" w:rsidP="00247453">
            <w:pPr>
              <w:jc w:val="center"/>
              <w:rPr>
                <w:rFonts w:ascii="仿宋_GB2312"/>
                <w:sz w:val="28"/>
                <w:szCs w:val="28"/>
              </w:rPr>
            </w:pPr>
          </w:p>
        </w:tc>
      </w:tr>
    </w:tbl>
    <w:p w:rsidR="006A5A33" w:rsidRPr="009F5796" w:rsidRDefault="006A5A33" w:rsidP="006A5A33">
      <w:pPr>
        <w:ind w:firstLineChars="200" w:firstLine="480"/>
        <w:rPr>
          <w:sz w:val="24"/>
          <w:szCs w:val="24"/>
        </w:rPr>
      </w:pPr>
      <w:r w:rsidRPr="009F5796">
        <w:rPr>
          <w:sz w:val="24"/>
          <w:szCs w:val="24"/>
        </w:rPr>
        <w:t>注</w:t>
      </w:r>
      <w:r w:rsidRPr="009F5796">
        <w:rPr>
          <w:rFonts w:hint="eastAsia"/>
          <w:sz w:val="24"/>
          <w:szCs w:val="24"/>
        </w:rPr>
        <w:t>：</w:t>
      </w:r>
      <w:r>
        <w:rPr>
          <w:rFonts w:hint="eastAsia"/>
          <w:sz w:val="24"/>
          <w:szCs w:val="24"/>
        </w:rPr>
        <w:t>本表一式四份，建设单位二份，监理单位、施工单位各一份。</w:t>
      </w:r>
    </w:p>
    <w:sectPr w:rsidR="006A5A33" w:rsidRPr="009F5796" w:rsidSect="00F8052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A65" w:rsidRDefault="00293A65" w:rsidP="004B3C27">
      <w:r>
        <w:separator/>
      </w:r>
    </w:p>
  </w:endnote>
  <w:endnote w:type="continuationSeparator" w:id="1">
    <w:p w:rsidR="00293A65" w:rsidRDefault="00293A65" w:rsidP="004B3C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3326"/>
      <w:docPartObj>
        <w:docPartGallery w:val="Page Numbers (Bottom of Page)"/>
        <w:docPartUnique/>
      </w:docPartObj>
    </w:sdtPr>
    <w:sdtContent>
      <w:p w:rsidR="00015891" w:rsidRDefault="00F83C16">
        <w:pPr>
          <w:pStyle w:val="a4"/>
          <w:jc w:val="center"/>
        </w:pPr>
        <w:fldSimple w:instr=" PAGE   \* MERGEFORMAT ">
          <w:r w:rsidR="006A5A33" w:rsidRPr="006A5A33">
            <w:rPr>
              <w:noProof/>
              <w:lang w:val="zh-CN"/>
            </w:rPr>
            <w:t>8</w:t>
          </w:r>
        </w:fldSimple>
      </w:p>
    </w:sdtContent>
  </w:sdt>
  <w:p w:rsidR="00015891" w:rsidRDefault="000158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A65" w:rsidRDefault="00293A65" w:rsidP="004B3C27">
      <w:r>
        <w:separator/>
      </w:r>
    </w:p>
  </w:footnote>
  <w:footnote w:type="continuationSeparator" w:id="1">
    <w:p w:rsidR="00293A65" w:rsidRDefault="00293A65" w:rsidP="004B3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3C27"/>
    <w:rsid w:val="00015891"/>
    <w:rsid w:val="00293A65"/>
    <w:rsid w:val="00470D09"/>
    <w:rsid w:val="004B3C27"/>
    <w:rsid w:val="006A5A33"/>
    <w:rsid w:val="007C53D6"/>
    <w:rsid w:val="00B21D03"/>
    <w:rsid w:val="00C738CA"/>
    <w:rsid w:val="00F80526"/>
    <w:rsid w:val="00F83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5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3C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3C27"/>
    <w:rPr>
      <w:sz w:val="18"/>
      <w:szCs w:val="18"/>
    </w:rPr>
  </w:style>
  <w:style w:type="paragraph" w:styleId="a4">
    <w:name w:val="footer"/>
    <w:basedOn w:val="a"/>
    <w:link w:val="Char0"/>
    <w:uiPriority w:val="99"/>
    <w:unhideWhenUsed/>
    <w:rsid w:val="004B3C27"/>
    <w:pPr>
      <w:tabs>
        <w:tab w:val="center" w:pos="4153"/>
        <w:tab w:val="right" w:pos="8306"/>
      </w:tabs>
      <w:snapToGrid w:val="0"/>
      <w:jc w:val="left"/>
    </w:pPr>
    <w:rPr>
      <w:sz w:val="18"/>
      <w:szCs w:val="18"/>
    </w:rPr>
  </w:style>
  <w:style w:type="character" w:customStyle="1" w:styleId="Char0">
    <w:name w:val="页脚 Char"/>
    <w:basedOn w:val="a0"/>
    <w:link w:val="a4"/>
    <w:uiPriority w:val="99"/>
    <w:rsid w:val="004B3C27"/>
    <w:rPr>
      <w:sz w:val="18"/>
      <w:szCs w:val="18"/>
    </w:rPr>
  </w:style>
  <w:style w:type="paragraph" w:styleId="a5">
    <w:name w:val="Balloon Text"/>
    <w:basedOn w:val="a"/>
    <w:link w:val="Char1"/>
    <w:uiPriority w:val="99"/>
    <w:semiHidden/>
    <w:unhideWhenUsed/>
    <w:rsid w:val="004B3C27"/>
    <w:rPr>
      <w:sz w:val="18"/>
      <w:szCs w:val="18"/>
    </w:rPr>
  </w:style>
  <w:style w:type="character" w:customStyle="1" w:styleId="Char1">
    <w:name w:val="批注框文本 Char"/>
    <w:basedOn w:val="a0"/>
    <w:link w:val="a5"/>
    <w:uiPriority w:val="99"/>
    <w:semiHidden/>
    <w:rsid w:val="004B3C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王中江</dc:creator>
  <cp:keywords/>
  <dc:description/>
  <cp:lastModifiedBy>王中江</cp:lastModifiedBy>
  <cp:revision>6</cp:revision>
  <cp:lastPrinted>2018-05-21T06:35:00Z</cp:lastPrinted>
  <dcterms:created xsi:type="dcterms:W3CDTF">2018-05-21T06:30:00Z</dcterms:created>
  <dcterms:modified xsi:type="dcterms:W3CDTF">2018-06-14T06:01:00Z</dcterms:modified>
</cp:coreProperties>
</file>